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Default="008E1F9A" w:rsidP="008E1F9A">
      <w:pPr>
        <w:rPr>
          <w:sz w:val="28"/>
          <w:szCs w:val="28"/>
        </w:rPr>
      </w:pPr>
      <w:r>
        <w:rPr>
          <w:sz w:val="28"/>
          <w:szCs w:val="28"/>
        </w:rPr>
        <w:t xml:space="preserve">от </w:t>
      </w:r>
      <w:r w:rsidR="005E2B13">
        <w:rPr>
          <w:sz w:val="28"/>
          <w:szCs w:val="28"/>
        </w:rPr>
        <w:t xml:space="preserve">29 июля </w:t>
      </w:r>
      <w:r w:rsidRPr="00D351B8">
        <w:rPr>
          <w:sz w:val="28"/>
          <w:szCs w:val="28"/>
        </w:rPr>
        <w:t xml:space="preserve"> 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5E2B13">
        <w:rPr>
          <w:sz w:val="28"/>
          <w:szCs w:val="28"/>
        </w:rPr>
        <w:t>42/10-6-РД</w:t>
      </w:r>
      <w:r w:rsidR="00C8736D">
        <w:rPr>
          <w:sz w:val="28"/>
          <w:szCs w:val="28"/>
        </w:rPr>
        <w:t xml:space="preserve">    </w:t>
      </w:r>
    </w:p>
    <w:p w:rsidR="005E2B13" w:rsidRPr="00D351B8" w:rsidRDefault="005E2B13"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FD2B88">
        <w:rPr>
          <w:spacing w:val="-1"/>
          <w:sz w:val="28"/>
          <w:szCs w:val="28"/>
        </w:rPr>
        <w:t>Мирошников</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5E2B13" w:rsidRDefault="008E1F9A" w:rsidP="008E1F9A">
      <w:pPr>
        <w:pStyle w:val="a4"/>
        <w:jc w:val="center"/>
        <w:rPr>
          <w:b/>
          <w:sz w:val="28"/>
          <w:szCs w:val="28"/>
        </w:rPr>
      </w:pPr>
      <w:r w:rsidRPr="005E2B13">
        <w:rPr>
          <w:b/>
          <w:sz w:val="28"/>
          <w:szCs w:val="28"/>
        </w:rPr>
        <w:t xml:space="preserve">Принято Котовской районной Думой </w:t>
      </w:r>
      <w:r w:rsidRPr="005E2B13">
        <w:rPr>
          <w:b/>
          <w:sz w:val="28"/>
          <w:szCs w:val="28"/>
        </w:rPr>
        <w:tab/>
      </w:r>
      <w:r w:rsidRPr="005E2B13">
        <w:rPr>
          <w:b/>
          <w:sz w:val="28"/>
          <w:szCs w:val="28"/>
        </w:rPr>
        <w:tab/>
      </w:r>
      <w:r w:rsidRPr="005E2B13">
        <w:rPr>
          <w:b/>
          <w:sz w:val="28"/>
          <w:szCs w:val="28"/>
        </w:rPr>
        <w:tab/>
      </w:r>
      <w:r w:rsidR="005E2B13" w:rsidRPr="005E2B13">
        <w:rPr>
          <w:b/>
          <w:sz w:val="28"/>
          <w:szCs w:val="28"/>
        </w:rPr>
        <w:t>29 июля</w:t>
      </w:r>
      <w:r w:rsidRPr="005E2B13">
        <w:rPr>
          <w:b/>
          <w:sz w:val="28"/>
          <w:szCs w:val="28"/>
        </w:rPr>
        <w:t xml:space="preserve"> 20</w:t>
      </w:r>
      <w:r w:rsidR="00C8736D" w:rsidRPr="005E2B13">
        <w:rPr>
          <w:b/>
          <w:sz w:val="28"/>
          <w:szCs w:val="28"/>
        </w:rPr>
        <w:t>2</w:t>
      </w:r>
      <w:r w:rsidRPr="005E2B13">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FD2B88">
        <w:rPr>
          <w:sz w:val="28"/>
          <w:szCs w:val="28"/>
        </w:rPr>
        <w:t>6</w:t>
      </w:r>
      <w:r w:rsidRPr="00C8736D">
        <w:rPr>
          <w:sz w:val="28"/>
          <w:szCs w:val="28"/>
        </w:rPr>
        <w:t xml:space="preserve">-РД «Об утверждении местных нормативов градостроительного проектирования </w:t>
      </w:r>
      <w:r w:rsidR="00FD2B88">
        <w:rPr>
          <w:sz w:val="28"/>
          <w:szCs w:val="28"/>
        </w:rPr>
        <w:t>Мирошников</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FD2B88">
        <w:rPr>
          <w:sz w:val="28"/>
          <w:szCs w:val="28"/>
        </w:rPr>
        <w:t>Мирошников</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Pr="008E1F9A" w:rsidRDefault="005E2B13" w:rsidP="008E1F9A">
      <w:pPr>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5E2B13" w:rsidRDefault="005E2B13" w:rsidP="005E2B13">
      <w:pPr>
        <w:ind w:firstLine="709"/>
        <w:jc w:val="right"/>
      </w:pPr>
      <w:r>
        <w:t>от 29.07. 2021 года № 42/10-6-РД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FD2B88">
        <w:rPr>
          <w:b/>
        </w:rPr>
        <w:t>МИРОШНИКОВ</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FD2B88">
        <w:t>Мирошниковского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FD2B88">
        <w:t>Мирошниковского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rPr>
      </w:pPr>
      <w:r w:rsidRPr="00F82A28">
        <w:rPr>
          <w:bCs/>
          <w:i/>
        </w:rPr>
        <w:t xml:space="preserve">Таблица </w:t>
      </w:r>
      <w:r w:rsidR="00D07BE6" w:rsidRPr="00D07BE6">
        <w:rPr>
          <w:bCs/>
          <w:i/>
        </w:rPr>
        <w:fldChar w:fldCharType="begin"/>
      </w:r>
      <w:r w:rsidRPr="00F82A28">
        <w:rPr>
          <w:bCs/>
          <w:i/>
        </w:rPr>
        <w:instrText xml:space="preserve"> SEQ Таблица \* ARABIC </w:instrText>
      </w:r>
      <w:r w:rsidR="00D07BE6" w:rsidRPr="00D07BE6">
        <w:rPr>
          <w:bCs/>
          <w:i/>
        </w:rPr>
        <w:fldChar w:fldCharType="separate"/>
      </w:r>
      <w:r w:rsidR="00F20D62">
        <w:rPr>
          <w:bCs/>
          <w:i/>
          <w:noProof/>
        </w:rPr>
        <w:t>1</w:t>
      </w:r>
      <w:r w:rsidR="00D07BE6"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FD2B88" w:rsidP="00B35EAC">
      <w:pPr>
        <w:autoSpaceDE w:val="0"/>
        <w:spacing w:line="276" w:lineRule="auto"/>
        <w:ind w:firstLine="709"/>
        <w:jc w:val="right"/>
      </w:pPr>
      <w:r>
        <w:t>Мирошниковского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кодекс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кодекс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кодекс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кодекс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кодекс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закон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закон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Постановление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Закон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Решение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Постановление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42.13330.2016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131.13330.2018.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 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Приказ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2.1.4.1110-02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СанПиН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Закон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Постановление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Постановление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Постановление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Приказ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Приказ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Постановление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Письмо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Постановление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Постановление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Приказ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Постановление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закон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закон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Постановление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Постановление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Приказ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Приказ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Распоряжение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33100-2014.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ГОСТ Р 52766-2007.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 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 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Постановление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Постановление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Постановление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Постановление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"Руководство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закон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рекомендации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Письмо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рекомендации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закон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 xml:space="preserve">Постановление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Распоряжение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Постановление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Приказ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Приказ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рекомендации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рекомендации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Постановление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Постановление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Постановление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закон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Приказ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закон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Распоряжение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Приказ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рекомендации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Постановление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Постановление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рекомендации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51303-2013.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Приказ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закон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Постановление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Постановление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Постановление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Постановление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Приказ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Приказ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Приказ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88.13330.2014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11.13130.2009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8.13130.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Постановление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Постановление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Постановление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Постановление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закон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82.13330.2016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Приказ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F0" w:rsidRDefault="003F49F0">
      <w:r>
        <w:separator/>
      </w:r>
    </w:p>
  </w:endnote>
  <w:endnote w:type="continuationSeparator" w:id="1">
    <w:p w:rsidR="003F49F0" w:rsidRDefault="003F4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F0" w:rsidRDefault="003F49F0">
      <w:r>
        <w:separator/>
      </w:r>
    </w:p>
  </w:footnote>
  <w:footnote w:type="continuationSeparator" w:id="1">
    <w:p w:rsidR="003F49F0" w:rsidRDefault="003F4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D07BE6" w:rsidP="006C5D15">
    <w:pPr>
      <w:pStyle w:val="ae"/>
      <w:framePr w:wrap="around" w:vAnchor="text" w:hAnchor="margin" w:xAlign="center" w:y="1"/>
      <w:rPr>
        <w:rStyle w:val="afc"/>
      </w:rPr>
    </w:pPr>
    <w:r>
      <w:rPr>
        <w:rStyle w:val="afc"/>
      </w:rPr>
      <w:fldChar w:fldCharType="begin"/>
    </w:r>
    <w:r w:rsidR="00CA0E03">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D07BE6" w:rsidP="006C5D15">
    <w:pPr>
      <w:pStyle w:val="ae"/>
      <w:framePr w:wrap="around" w:vAnchor="text" w:hAnchor="margin" w:xAlign="center" w:y="1"/>
      <w:rPr>
        <w:rStyle w:val="afc"/>
      </w:rPr>
    </w:pPr>
    <w:r>
      <w:rPr>
        <w:rStyle w:val="afc"/>
      </w:rPr>
      <w:fldChar w:fldCharType="begin"/>
    </w:r>
    <w:r w:rsidR="00CA0E03">
      <w:rPr>
        <w:rStyle w:val="afc"/>
      </w:rPr>
      <w:instrText xml:space="preserve">PAGE  </w:instrText>
    </w:r>
    <w:r>
      <w:rPr>
        <w:rStyle w:val="afc"/>
      </w:rPr>
      <w:fldChar w:fldCharType="separate"/>
    </w:r>
    <w:r w:rsidR="00F20D62">
      <w:rPr>
        <w:rStyle w:val="afc"/>
        <w:noProof/>
      </w:rPr>
      <w:t>31</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tplc="DEB0BB56">
      <w:start w:val="1"/>
      <w:numFmt w:val="bullet"/>
      <w:lvlText w:val="-"/>
      <w:lvlJc w:val="left"/>
      <w:pPr>
        <w:tabs>
          <w:tab w:val="num" w:pos="720"/>
        </w:tabs>
        <w:ind w:left="720" w:hanging="360"/>
      </w:pPr>
    </w:lvl>
    <w:lvl w:ilvl="1" w:tplc="680ACB68">
      <w:start w:val="1"/>
      <w:numFmt w:val="bullet"/>
      <w:lvlText w:val="-"/>
      <w:lvlJc w:val="left"/>
      <w:pPr>
        <w:tabs>
          <w:tab w:val="num" w:pos="1440"/>
        </w:tabs>
        <w:ind w:left="1440" w:hanging="360"/>
      </w:pPr>
    </w:lvl>
    <w:lvl w:ilvl="2" w:tplc="CFD6F4E8">
      <w:numFmt w:val="decimal"/>
      <w:lvlText w:val=""/>
      <w:lvlJc w:val="left"/>
    </w:lvl>
    <w:lvl w:ilvl="3" w:tplc="2346A7B6">
      <w:numFmt w:val="decimal"/>
      <w:lvlText w:val=""/>
      <w:lvlJc w:val="left"/>
    </w:lvl>
    <w:lvl w:ilvl="4" w:tplc="8B720ADE">
      <w:numFmt w:val="decimal"/>
      <w:lvlText w:val=""/>
      <w:lvlJc w:val="left"/>
    </w:lvl>
    <w:lvl w:ilvl="5" w:tplc="5600B196">
      <w:numFmt w:val="decimal"/>
      <w:lvlText w:val=""/>
      <w:lvlJc w:val="left"/>
    </w:lvl>
    <w:lvl w:ilvl="6" w:tplc="5E544748">
      <w:numFmt w:val="decimal"/>
      <w:lvlText w:val=""/>
      <w:lvlJc w:val="left"/>
    </w:lvl>
    <w:lvl w:ilvl="7" w:tplc="E2FA378A">
      <w:numFmt w:val="decimal"/>
      <w:lvlText w:val=""/>
      <w:lvlJc w:val="left"/>
    </w:lvl>
    <w:lvl w:ilvl="8" w:tplc="0BF036A6">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D1FE9CB6">
      <w:start w:val="1"/>
      <w:numFmt w:val="bullet"/>
      <w:lvlText w:val=""/>
      <w:lvlJc w:val="left"/>
      <w:pPr>
        <w:ind w:left="1440" w:hanging="360"/>
      </w:pPr>
      <w:rPr>
        <w:rFonts w:ascii="Symbol" w:hAnsi="Symbol" w:hint="default"/>
      </w:rPr>
    </w:lvl>
    <w:lvl w:ilvl="1" w:tplc="9C68D06E" w:tentative="1">
      <w:start w:val="1"/>
      <w:numFmt w:val="bullet"/>
      <w:lvlText w:val="o"/>
      <w:lvlJc w:val="left"/>
      <w:pPr>
        <w:ind w:left="2160" w:hanging="360"/>
      </w:pPr>
      <w:rPr>
        <w:rFonts w:ascii="Courier New" w:hAnsi="Courier New" w:cs="Courier New" w:hint="default"/>
      </w:rPr>
    </w:lvl>
    <w:lvl w:ilvl="2" w:tplc="8E48E076" w:tentative="1">
      <w:start w:val="1"/>
      <w:numFmt w:val="bullet"/>
      <w:lvlText w:val=""/>
      <w:lvlJc w:val="left"/>
      <w:pPr>
        <w:ind w:left="2880" w:hanging="360"/>
      </w:pPr>
      <w:rPr>
        <w:rFonts w:ascii="Wingdings" w:hAnsi="Wingdings" w:hint="default"/>
      </w:rPr>
    </w:lvl>
    <w:lvl w:ilvl="3" w:tplc="A57E6402" w:tentative="1">
      <w:start w:val="1"/>
      <w:numFmt w:val="bullet"/>
      <w:lvlText w:val=""/>
      <w:lvlJc w:val="left"/>
      <w:pPr>
        <w:ind w:left="3600" w:hanging="360"/>
      </w:pPr>
      <w:rPr>
        <w:rFonts w:ascii="Symbol" w:hAnsi="Symbol" w:hint="default"/>
      </w:rPr>
    </w:lvl>
    <w:lvl w:ilvl="4" w:tplc="11902216" w:tentative="1">
      <w:start w:val="1"/>
      <w:numFmt w:val="bullet"/>
      <w:lvlText w:val="o"/>
      <w:lvlJc w:val="left"/>
      <w:pPr>
        <w:ind w:left="4320" w:hanging="360"/>
      </w:pPr>
      <w:rPr>
        <w:rFonts w:ascii="Courier New" w:hAnsi="Courier New" w:cs="Courier New" w:hint="default"/>
      </w:rPr>
    </w:lvl>
    <w:lvl w:ilvl="5" w:tplc="EEE44E1C" w:tentative="1">
      <w:start w:val="1"/>
      <w:numFmt w:val="bullet"/>
      <w:lvlText w:val=""/>
      <w:lvlJc w:val="left"/>
      <w:pPr>
        <w:ind w:left="5040" w:hanging="360"/>
      </w:pPr>
      <w:rPr>
        <w:rFonts w:ascii="Wingdings" w:hAnsi="Wingdings" w:hint="default"/>
      </w:rPr>
    </w:lvl>
    <w:lvl w:ilvl="6" w:tplc="E9642AA2" w:tentative="1">
      <w:start w:val="1"/>
      <w:numFmt w:val="bullet"/>
      <w:lvlText w:val=""/>
      <w:lvlJc w:val="left"/>
      <w:pPr>
        <w:ind w:left="5760" w:hanging="360"/>
      </w:pPr>
      <w:rPr>
        <w:rFonts w:ascii="Symbol" w:hAnsi="Symbol" w:hint="default"/>
      </w:rPr>
    </w:lvl>
    <w:lvl w:ilvl="7" w:tplc="099878BA" w:tentative="1">
      <w:start w:val="1"/>
      <w:numFmt w:val="bullet"/>
      <w:lvlText w:val="o"/>
      <w:lvlJc w:val="left"/>
      <w:pPr>
        <w:ind w:left="6480" w:hanging="360"/>
      </w:pPr>
      <w:rPr>
        <w:rFonts w:ascii="Courier New" w:hAnsi="Courier New" w:cs="Courier New" w:hint="default"/>
      </w:rPr>
    </w:lvl>
    <w:lvl w:ilvl="8" w:tplc="E5A4790E"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1A105120">
      <w:start w:val="3"/>
      <w:numFmt w:val="bullet"/>
      <w:lvlText w:val=""/>
      <w:lvlJc w:val="left"/>
      <w:pPr>
        <w:ind w:left="1211" w:hanging="360"/>
      </w:pPr>
      <w:rPr>
        <w:rFonts w:ascii="Symbol" w:eastAsia="Times New Roman" w:hAnsi="Symbol" w:cs="Times New Roman" w:hint="default"/>
      </w:rPr>
    </w:lvl>
    <w:lvl w:ilvl="1" w:tplc="887A19E2" w:tentative="1">
      <w:start w:val="1"/>
      <w:numFmt w:val="bullet"/>
      <w:lvlText w:val="o"/>
      <w:lvlJc w:val="left"/>
      <w:pPr>
        <w:ind w:left="1931" w:hanging="360"/>
      </w:pPr>
      <w:rPr>
        <w:rFonts w:ascii="Courier New" w:hAnsi="Courier New" w:cs="Courier New" w:hint="default"/>
      </w:rPr>
    </w:lvl>
    <w:lvl w:ilvl="2" w:tplc="7BA4B262" w:tentative="1">
      <w:start w:val="1"/>
      <w:numFmt w:val="bullet"/>
      <w:lvlText w:val=""/>
      <w:lvlJc w:val="left"/>
      <w:pPr>
        <w:ind w:left="2651" w:hanging="360"/>
      </w:pPr>
      <w:rPr>
        <w:rFonts w:ascii="Wingdings" w:hAnsi="Wingdings" w:hint="default"/>
      </w:rPr>
    </w:lvl>
    <w:lvl w:ilvl="3" w:tplc="D1D6BED4" w:tentative="1">
      <w:start w:val="1"/>
      <w:numFmt w:val="bullet"/>
      <w:lvlText w:val=""/>
      <w:lvlJc w:val="left"/>
      <w:pPr>
        <w:ind w:left="3371" w:hanging="360"/>
      </w:pPr>
      <w:rPr>
        <w:rFonts w:ascii="Symbol" w:hAnsi="Symbol" w:hint="default"/>
      </w:rPr>
    </w:lvl>
    <w:lvl w:ilvl="4" w:tplc="4AA4FC94" w:tentative="1">
      <w:start w:val="1"/>
      <w:numFmt w:val="bullet"/>
      <w:lvlText w:val="o"/>
      <w:lvlJc w:val="left"/>
      <w:pPr>
        <w:ind w:left="4091" w:hanging="360"/>
      </w:pPr>
      <w:rPr>
        <w:rFonts w:ascii="Courier New" w:hAnsi="Courier New" w:cs="Courier New" w:hint="default"/>
      </w:rPr>
    </w:lvl>
    <w:lvl w:ilvl="5" w:tplc="4C0030C0" w:tentative="1">
      <w:start w:val="1"/>
      <w:numFmt w:val="bullet"/>
      <w:lvlText w:val=""/>
      <w:lvlJc w:val="left"/>
      <w:pPr>
        <w:ind w:left="4811" w:hanging="360"/>
      </w:pPr>
      <w:rPr>
        <w:rFonts w:ascii="Wingdings" w:hAnsi="Wingdings" w:hint="default"/>
      </w:rPr>
    </w:lvl>
    <w:lvl w:ilvl="6" w:tplc="847E3BD8" w:tentative="1">
      <w:start w:val="1"/>
      <w:numFmt w:val="bullet"/>
      <w:lvlText w:val=""/>
      <w:lvlJc w:val="left"/>
      <w:pPr>
        <w:ind w:left="5531" w:hanging="360"/>
      </w:pPr>
      <w:rPr>
        <w:rFonts w:ascii="Symbol" w:hAnsi="Symbol" w:hint="default"/>
      </w:rPr>
    </w:lvl>
    <w:lvl w:ilvl="7" w:tplc="1FEADF90" w:tentative="1">
      <w:start w:val="1"/>
      <w:numFmt w:val="bullet"/>
      <w:lvlText w:val="o"/>
      <w:lvlJc w:val="left"/>
      <w:pPr>
        <w:ind w:left="6251" w:hanging="360"/>
      </w:pPr>
      <w:rPr>
        <w:rFonts w:ascii="Courier New" w:hAnsi="Courier New" w:cs="Courier New" w:hint="default"/>
      </w:rPr>
    </w:lvl>
    <w:lvl w:ilvl="8" w:tplc="25FC78BC"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tplc="8806D08A">
      <w:start w:val="1"/>
      <w:numFmt w:val="bullet"/>
      <w:lvlText w:val="-"/>
      <w:lvlJc w:val="left"/>
      <w:pPr>
        <w:tabs>
          <w:tab w:val="num" w:pos="2140"/>
        </w:tabs>
        <w:ind w:left="2140" w:hanging="360"/>
      </w:pPr>
      <w:rPr>
        <w:rFonts w:ascii="Arial" w:hAnsi="Arial" w:hint="default"/>
        <w:color w:val="auto"/>
      </w:rPr>
    </w:lvl>
    <w:lvl w:ilvl="1" w:tplc="E474F442" w:tentative="1">
      <w:start w:val="1"/>
      <w:numFmt w:val="bullet"/>
      <w:lvlText w:val="o"/>
      <w:lvlJc w:val="left"/>
      <w:pPr>
        <w:tabs>
          <w:tab w:val="num" w:pos="2860"/>
        </w:tabs>
        <w:ind w:left="2860" w:hanging="360"/>
      </w:pPr>
      <w:rPr>
        <w:rFonts w:ascii="Courier New" w:hAnsi="Courier New" w:cs="Courier New" w:hint="default"/>
      </w:rPr>
    </w:lvl>
    <w:lvl w:ilvl="2" w:tplc="394EF2AE" w:tentative="1">
      <w:start w:val="1"/>
      <w:numFmt w:val="bullet"/>
      <w:lvlText w:val=""/>
      <w:lvlJc w:val="left"/>
      <w:pPr>
        <w:tabs>
          <w:tab w:val="num" w:pos="3580"/>
        </w:tabs>
        <w:ind w:left="3580" w:hanging="360"/>
      </w:pPr>
      <w:rPr>
        <w:rFonts w:ascii="Wingdings" w:hAnsi="Wingdings" w:hint="default"/>
      </w:rPr>
    </w:lvl>
    <w:lvl w:ilvl="3" w:tplc="A86836C6" w:tentative="1">
      <w:start w:val="1"/>
      <w:numFmt w:val="bullet"/>
      <w:lvlText w:val=""/>
      <w:lvlJc w:val="left"/>
      <w:pPr>
        <w:tabs>
          <w:tab w:val="num" w:pos="4300"/>
        </w:tabs>
        <w:ind w:left="4300" w:hanging="360"/>
      </w:pPr>
      <w:rPr>
        <w:rFonts w:ascii="Symbol" w:hAnsi="Symbol" w:hint="default"/>
      </w:rPr>
    </w:lvl>
    <w:lvl w:ilvl="4" w:tplc="96BC4FE4" w:tentative="1">
      <w:start w:val="1"/>
      <w:numFmt w:val="bullet"/>
      <w:lvlText w:val="o"/>
      <w:lvlJc w:val="left"/>
      <w:pPr>
        <w:tabs>
          <w:tab w:val="num" w:pos="5020"/>
        </w:tabs>
        <w:ind w:left="5020" w:hanging="360"/>
      </w:pPr>
      <w:rPr>
        <w:rFonts w:ascii="Courier New" w:hAnsi="Courier New" w:cs="Courier New" w:hint="default"/>
      </w:rPr>
    </w:lvl>
    <w:lvl w:ilvl="5" w:tplc="5FACCABE" w:tentative="1">
      <w:start w:val="1"/>
      <w:numFmt w:val="bullet"/>
      <w:lvlText w:val=""/>
      <w:lvlJc w:val="left"/>
      <w:pPr>
        <w:tabs>
          <w:tab w:val="num" w:pos="5740"/>
        </w:tabs>
        <w:ind w:left="5740" w:hanging="360"/>
      </w:pPr>
      <w:rPr>
        <w:rFonts w:ascii="Wingdings" w:hAnsi="Wingdings" w:hint="default"/>
      </w:rPr>
    </w:lvl>
    <w:lvl w:ilvl="6" w:tplc="991AFBA6" w:tentative="1">
      <w:start w:val="1"/>
      <w:numFmt w:val="bullet"/>
      <w:lvlText w:val=""/>
      <w:lvlJc w:val="left"/>
      <w:pPr>
        <w:tabs>
          <w:tab w:val="num" w:pos="6460"/>
        </w:tabs>
        <w:ind w:left="6460" w:hanging="360"/>
      </w:pPr>
      <w:rPr>
        <w:rFonts w:ascii="Symbol" w:hAnsi="Symbol" w:hint="default"/>
      </w:rPr>
    </w:lvl>
    <w:lvl w:ilvl="7" w:tplc="99C80E50" w:tentative="1">
      <w:start w:val="1"/>
      <w:numFmt w:val="bullet"/>
      <w:lvlText w:val="o"/>
      <w:lvlJc w:val="left"/>
      <w:pPr>
        <w:tabs>
          <w:tab w:val="num" w:pos="7180"/>
        </w:tabs>
        <w:ind w:left="7180" w:hanging="360"/>
      </w:pPr>
      <w:rPr>
        <w:rFonts w:ascii="Courier New" w:hAnsi="Courier New" w:cs="Courier New" w:hint="default"/>
      </w:rPr>
    </w:lvl>
    <w:lvl w:ilvl="8" w:tplc="4DDE8D5A"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tplc="A55E8644">
      <w:start w:val="1"/>
      <w:numFmt w:val="decimal"/>
      <w:lvlText w:val="%1."/>
      <w:lvlJc w:val="left"/>
      <w:pPr>
        <w:ind w:left="720" w:hanging="360"/>
      </w:pPr>
    </w:lvl>
    <w:lvl w:ilvl="1" w:tplc="73A64336">
      <w:start w:val="1"/>
      <w:numFmt w:val="decimal"/>
      <w:lvlText w:val="%2."/>
      <w:lvlJc w:val="left"/>
      <w:pPr>
        <w:tabs>
          <w:tab w:val="num" w:pos="1440"/>
        </w:tabs>
        <w:ind w:left="1440" w:hanging="360"/>
      </w:pPr>
    </w:lvl>
    <w:lvl w:ilvl="2" w:tplc="C0AE6C30">
      <w:start w:val="1"/>
      <w:numFmt w:val="decimal"/>
      <w:lvlText w:val="%3."/>
      <w:lvlJc w:val="left"/>
      <w:pPr>
        <w:tabs>
          <w:tab w:val="num" w:pos="2160"/>
        </w:tabs>
        <w:ind w:left="2160" w:hanging="360"/>
      </w:pPr>
    </w:lvl>
    <w:lvl w:ilvl="3" w:tplc="C43E0F2E">
      <w:start w:val="1"/>
      <w:numFmt w:val="decimal"/>
      <w:lvlText w:val="%4."/>
      <w:lvlJc w:val="left"/>
      <w:pPr>
        <w:tabs>
          <w:tab w:val="num" w:pos="2880"/>
        </w:tabs>
        <w:ind w:left="2880" w:hanging="360"/>
      </w:pPr>
    </w:lvl>
    <w:lvl w:ilvl="4" w:tplc="C24EE090">
      <w:start w:val="1"/>
      <w:numFmt w:val="decimal"/>
      <w:lvlText w:val="%5."/>
      <w:lvlJc w:val="left"/>
      <w:pPr>
        <w:tabs>
          <w:tab w:val="num" w:pos="3600"/>
        </w:tabs>
        <w:ind w:left="3600" w:hanging="360"/>
      </w:pPr>
    </w:lvl>
    <w:lvl w:ilvl="5" w:tplc="A8740FD0">
      <w:start w:val="1"/>
      <w:numFmt w:val="decimal"/>
      <w:lvlText w:val="%6."/>
      <w:lvlJc w:val="left"/>
      <w:pPr>
        <w:tabs>
          <w:tab w:val="num" w:pos="4320"/>
        </w:tabs>
        <w:ind w:left="4320" w:hanging="360"/>
      </w:pPr>
    </w:lvl>
    <w:lvl w:ilvl="6" w:tplc="E78A556A">
      <w:start w:val="1"/>
      <w:numFmt w:val="decimal"/>
      <w:lvlText w:val="%7."/>
      <w:lvlJc w:val="left"/>
      <w:pPr>
        <w:tabs>
          <w:tab w:val="num" w:pos="5040"/>
        </w:tabs>
        <w:ind w:left="5040" w:hanging="360"/>
      </w:pPr>
    </w:lvl>
    <w:lvl w:ilvl="7" w:tplc="3070A16E">
      <w:start w:val="1"/>
      <w:numFmt w:val="decimal"/>
      <w:lvlText w:val="%8."/>
      <w:lvlJc w:val="left"/>
      <w:pPr>
        <w:tabs>
          <w:tab w:val="num" w:pos="5760"/>
        </w:tabs>
        <w:ind w:left="5760" w:hanging="360"/>
      </w:pPr>
    </w:lvl>
    <w:lvl w:ilvl="8" w:tplc="8A3CA550">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03E2A"/>
    <w:rsid w:val="00310603"/>
    <w:rsid w:val="00356EB4"/>
    <w:rsid w:val="00373F5A"/>
    <w:rsid w:val="00380474"/>
    <w:rsid w:val="00382792"/>
    <w:rsid w:val="0038588A"/>
    <w:rsid w:val="00387289"/>
    <w:rsid w:val="003A08C0"/>
    <w:rsid w:val="003A5A05"/>
    <w:rsid w:val="003C650C"/>
    <w:rsid w:val="003E676D"/>
    <w:rsid w:val="003E7598"/>
    <w:rsid w:val="003F49F0"/>
    <w:rsid w:val="0040647B"/>
    <w:rsid w:val="00425BE0"/>
    <w:rsid w:val="00444CC9"/>
    <w:rsid w:val="004465B7"/>
    <w:rsid w:val="00454E59"/>
    <w:rsid w:val="00461AD0"/>
    <w:rsid w:val="00471FA5"/>
    <w:rsid w:val="00480F80"/>
    <w:rsid w:val="004C23A2"/>
    <w:rsid w:val="004D27A9"/>
    <w:rsid w:val="004D444A"/>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E2B13"/>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07BE6"/>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20D62"/>
    <w:rsid w:val="00F320A9"/>
    <w:rsid w:val="00F44036"/>
    <w:rsid w:val="00F57AFD"/>
    <w:rsid w:val="00F67923"/>
    <w:rsid w:val="00F82A28"/>
    <w:rsid w:val="00FA2381"/>
    <w:rsid w:val="00FA60C3"/>
    <w:rsid w:val="00FA67BB"/>
    <w:rsid w:val="00FB6052"/>
    <w:rsid w:val="00FC1B25"/>
    <w:rsid w:val="00FD2B88"/>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94145922">
      <w:bodyDiv w:val="1"/>
      <w:marLeft w:val="0"/>
      <w:marRight w:val="0"/>
      <w:marTop w:val="0"/>
      <w:marBottom w:val="0"/>
      <w:divBdr>
        <w:top w:val="none" w:sz="0" w:space="0" w:color="auto"/>
        <w:left w:val="none" w:sz="0" w:space="0" w:color="auto"/>
        <w:bottom w:val="none" w:sz="0" w:space="0" w:color="auto"/>
        <w:right w:val="none" w:sz="0" w:space="0" w:color="auto"/>
      </w:divBdr>
    </w:div>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9773</Words>
  <Characters>55711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SuvorovaOS</cp:lastModifiedBy>
  <cp:revision>3</cp:revision>
  <cp:lastPrinted>2021-07-29T11:10:00Z</cp:lastPrinted>
  <dcterms:created xsi:type="dcterms:W3CDTF">2021-07-29T10:55:00Z</dcterms:created>
  <dcterms:modified xsi:type="dcterms:W3CDTF">2021-07-29T11:10:00Z</dcterms:modified>
</cp:coreProperties>
</file>